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2.0.0 -->
  <w:body>
    <w:p w:rsidR="00A51208" w:rsidRPr="00DB7A30" w:rsidP="00EA1EDE">
      <w:pPr>
        <w:shd w:val="clear" w:color="auto" w:fill="FFFFFF"/>
        <w:jc w:val="center"/>
        <w:rPr>
          <w:rFonts w:ascii="Calibri" w:eastAsia="Times New Roman" w:hAnsi="Calibri"/>
          <w:b/>
          <w:color w:val="000000"/>
          <w:sz w:val="28"/>
          <w:szCs w:val="28"/>
        </w:rPr>
      </w:pPr>
      <w:bookmarkStart w:id="0" w:name="_GoBack"/>
      <w:bookmarkEnd w:id="0"/>
      <w:r w:rsidRPr="00DB7A30">
        <w:rPr>
          <w:rFonts w:ascii="Calibri" w:eastAsia="Times New Roman" w:hAnsi="Calibri"/>
          <w:b/>
          <w:color w:val="000000"/>
          <w:sz w:val="28"/>
          <w:szCs w:val="28"/>
        </w:rPr>
        <w:t>Meyers Roman Welcomes Five Attorneys to its Growing Team</w:t>
      </w:r>
    </w:p>
    <w:p w:rsidR="00036545" w:rsidRPr="00036545" w:rsidP="00EA1EDE">
      <w:pPr>
        <w:shd w:val="clear" w:color="auto" w:fill="FFFFFF"/>
        <w:jc w:val="center"/>
        <w:rPr>
          <w:rFonts w:ascii="Calibri" w:eastAsia="Times New Roman" w:hAnsi="Calibri"/>
          <w:color w:val="000000"/>
        </w:rPr>
      </w:pPr>
    </w:p>
    <w:p w:rsidR="00036545" w:rsidP="007A537F">
      <w:pPr>
        <w:shd w:val="clear" w:color="auto" w:fill="FFFFFF"/>
        <w:rPr>
          <w:rFonts w:ascii="Calibri" w:eastAsia="Times New Roman" w:hAnsi="Calibri"/>
          <w:color w:val="000000"/>
        </w:rPr>
      </w:pPr>
      <w:r>
        <w:rPr>
          <w:rFonts w:ascii="Calibri" w:eastAsia="Times New Roman" w:hAnsi="Calibri"/>
          <w:color w:val="000000"/>
        </w:rPr>
        <w:t>September 25</w:t>
      </w:r>
      <w:r w:rsidRPr="00036545">
        <w:rPr>
          <w:rFonts w:ascii="Calibri" w:eastAsia="Times New Roman" w:hAnsi="Calibri"/>
          <w:color w:val="000000"/>
        </w:rPr>
        <w:t>, 2018</w:t>
      </w:r>
    </w:p>
    <w:p w:rsidR="00EA1EDE" w:rsidP="007A537F">
      <w:pPr>
        <w:shd w:val="clear" w:color="auto" w:fill="FFFFFF"/>
        <w:rPr>
          <w:rFonts w:ascii="Calibri" w:eastAsia="Times New Roman" w:hAnsi="Calibri"/>
          <w:color w:val="000000"/>
        </w:rPr>
      </w:pPr>
    </w:p>
    <w:p w:rsidR="00EA1EDE" w:rsidP="00EA1EDE">
      <w:pPr>
        <w:rPr>
          <w:sz w:val="28"/>
          <w:szCs w:val="28"/>
        </w:rPr>
      </w:pPr>
      <w:r>
        <w:rPr>
          <w:sz w:val="28"/>
          <w:szCs w:val="28"/>
        </w:rPr>
        <w:t>Meyers Roman is pleased to</w:t>
      </w:r>
      <w:r w:rsidR="00E34E3F">
        <w:rPr>
          <w:sz w:val="28"/>
          <w:szCs w:val="28"/>
        </w:rPr>
        <w:t xml:space="preserve"> have</w:t>
      </w:r>
      <w:r>
        <w:rPr>
          <w:sz w:val="28"/>
          <w:szCs w:val="28"/>
        </w:rPr>
        <w:t xml:space="preserve"> welcome</w:t>
      </w:r>
      <w:r w:rsidR="00E34E3F">
        <w:rPr>
          <w:sz w:val="28"/>
          <w:szCs w:val="28"/>
        </w:rPr>
        <w:t>d</w:t>
      </w:r>
      <w:r>
        <w:rPr>
          <w:sz w:val="28"/>
          <w:szCs w:val="28"/>
        </w:rPr>
        <w:t xml:space="preserve"> three Partners, one Of Counsel and an Associate to the firm this summer. The addition of these five attorneys strengthens the firm’s depth and breadth of expertise available to its client base.</w:t>
      </w:r>
    </w:p>
    <w:p w:rsidR="00EA1EDE" w:rsidP="00EA1EDE">
      <w:pPr>
        <w:rPr>
          <w:sz w:val="28"/>
          <w:szCs w:val="28"/>
        </w:rPr>
      </w:pPr>
    </w:p>
    <w:p w:rsidR="00EA1EDE" w:rsidP="00EA1EDE">
      <w:pPr>
        <w:rPr>
          <w:sz w:val="28"/>
          <w:szCs w:val="28"/>
        </w:rPr>
      </w:pPr>
      <w:r>
        <w:rPr>
          <w:sz w:val="28"/>
          <w:szCs w:val="28"/>
        </w:rPr>
        <w:t xml:space="preserve">“We are thrilled to have each of these attorneys join our firm,” said </w:t>
      </w:r>
      <w:r w:rsidRPr="00EA1EDE">
        <w:rPr>
          <w:rStyle w:val="DefaultParagraphFont"/>
          <w:sz w:val="28"/>
          <w:szCs w:val="28"/>
        </w:rPr>
        <w:t>Seth Briskin,</w:t>
      </w:r>
      <w:r>
        <w:rPr>
          <w:sz w:val="28"/>
          <w:szCs w:val="28"/>
        </w:rPr>
        <w:t xml:space="preserve"> Managing Partner. “They bring a wealth of legal experience as well as unique backgrounds that will help support the expanding needs of our growing client base. More importantly, they are great people who are civic-minded and very engaged in their communities.”</w:t>
      </w:r>
    </w:p>
    <w:p w:rsidR="00EA1EDE" w:rsidP="00EA1EDE">
      <w:pPr>
        <w:rPr>
          <w:sz w:val="28"/>
          <w:szCs w:val="28"/>
        </w:rPr>
      </w:pPr>
      <w:r>
        <w:rPr>
          <w:sz w:val="28"/>
          <w:szCs w:val="28"/>
        </w:rPr>
        <w:t xml:space="preserve">  </w:t>
      </w:r>
    </w:p>
    <w:p w:rsidR="00EA1EDE" w:rsidP="00EA1EDE">
      <w:pPr>
        <w:rPr>
          <w:sz w:val="28"/>
          <w:szCs w:val="28"/>
        </w:rPr>
      </w:pPr>
      <w:r>
        <w:rPr>
          <w:sz w:val="28"/>
          <w:szCs w:val="28"/>
        </w:rPr>
        <w:t xml:space="preserve">Partner </w:t>
      </w:r>
      <w:r w:rsidRPr="00EA1EDE">
        <w:rPr>
          <w:rStyle w:val="DefaultParagraphFont"/>
          <w:sz w:val="28"/>
          <w:szCs w:val="28"/>
        </w:rPr>
        <w:t>R. Mark Gottfried</w:t>
      </w:r>
      <w:r>
        <w:rPr>
          <w:sz w:val="28"/>
          <w:szCs w:val="28"/>
        </w:rPr>
        <w:t xml:space="preserve"> joins the firm with significant experience representing employers in all aspects of workers’ compensation litigation, including death claims, safety and OSHA violations, Medicare compliance, fraudulent claims and Violation of Specific Safety Requirement (VSSR) investigation and defense. Mark earned his law degree from Case Western Reserve University School of Law and his undergraduate degree from Southern Methodist University.</w:t>
      </w:r>
    </w:p>
    <w:p w:rsidR="00EA1EDE" w:rsidP="00EA1EDE">
      <w:pPr>
        <w:rPr>
          <w:sz w:val="28"/>
          <w:szCs w:val="28"/>
        </w:rPr>
      </w:pPr>
    </w:p>
    <w:p w:rsidR="00EA1EDE" w:rsidP="00EA1EDE">
      <w:pPr>
        <w:rPr>
          <w:sz w:val="28"/>
          <w:szCs w:val="28"/>
        </w:rPr>
      </w:pPr>
      <w:r>
        <w:rPr>
          <w:sz w:val="28"/>
          <w:szCs w:val="28"/>
        </w:rPr>
        <w:t xml:space="preserve">As a litigator, Partner </w:t>
      </w:r>
      <w:r w:rsidRPr="00EA1EDE">
        <w:rPr>
          <w:rStyle w:val="DefaultParagraphFont"/>
          <w:sz w:val="28"/>
          <w:szCs w:val="28"/>
        </w:rPr>
        <w:t>Matthew Golish</w:t>
      </w:r>
      <w:r>
        <w:rPr>
          <w:sz w:val="28"/>
          <w:szCs w:val="28"/>
        </w:rPr>
        <w:t xml:space="preserve"> brings to the firm almost two decades of civil and criminal courtroom experience on both the local and national level. Additionally, as a Certified Public Accountant, Matt has a unique perspective and skill set with which to address his clients’ legal challenges. Matt graduated from Cleveland-Marshall College of Law and the University of Notre Dame.</w:t>
      </w:r>
    </w:p>
    <w:p w:rsidR="00EA1EDE" w:rsidP="00EA1EDE">
      <w:pPr>
        <w:rPr>
          <w:sz w:val="28"/>
          <w:szCs w:val="28"/>
        </w:rPr>
      </w:pPr>
    </w:p>
    <w:p w:rsidR="00EA1EDE" w:rsidP="00EA1EDE">
      <w:pPr>
        <w:rPr>
          <w:sz w:val="28"/>
          <w:szCs w:val="28"/>
        </w:rPr>
      </w:pPr>
      <w:r>
        <w:rPr>
          <w:sz w:val="28"/>
          <w:szCs w:val="28"/>
        </w:rPr>
        <w:t>For nearly two decades, P</w:t>
      </w:r>
      <w:r>
        <w:rPr>
          <w:sz w:val="28"/>
          <w:szCs w:val="28"/>
        </w:rPr>
        <w:t xml:space="preserve">artner </w:t>
      </w:r>
      <w:r w:rsidRPr="00EA1EDE">
        <w:rPr>
          <w:rStyle w:val="DefaultParagraphFont"/>
          <w:sz w:val="28"/>
          <w:szCs w:val="28"/>
        </w:rPr>
        <w:t>David Neumann</w:t>
      </w:r>
      <w:r>
        <w:rPr>
          <w:sz w:val="28"/>
          <w:szCs w:val="28"/>
        </w:rPr>
        <w:t xml:space="preserve"> has advised clients on corporate insolvency, creditors’ rights, business reorganization, bankruptcy litigation, receiverships, and related transactions. David provides creative, pragmatic and impactful business solutions to corporations and organizations of all sizes. He is admitted to practice in bo</w:t>
      </w:r>
      <w:r>
        <w:rPr>
          <w:sz w:val="28"/>
          <w:szCs w:val="28"/>
        </w:rPr>
        <w:t xml:space="preserve">th Ohio and Massachusetts, </w:t>
      </w:r>
      <w:r>
        <w:rPr>
          <w:sz w:val="28"/>
          <w:szCs w:val="28"/>
        </w:rPr>
        <w:t>and is fluent in Russian. David attended Case Western Reserve University School of Law and earned his bachelor’s degree from Tufts University.</w:t>
      </w:r>
    </w:p>
    <w:p w:rsidR="00EA1EDE" w:rsidP="00EA1EDE">
      <w:pPr>
        <w:rPr>
          <w:sz w:val="28"/>
          <w:szCs w:val="28"/>
        </w:rPr>
      </w:pPr>
    </w:p>
    <w:p w:rsidR="00EA1EDE" w:rsidP="00EA1EDE">
      <w:pPr>
        <w:rPr>
          <w:sz w:val="28"/>
          <w:szCs w:val="28"/>
        </w:rPr>
      </w:pPr>
    </w:p>
    <w:p w:rsidR="00EA1EDE" w:rsidP="00EA1EDE">
      <w:pPr>
        <w:rPr>
          <w:sz w:val="28"/>
          <w:szCs w:val="28"/>
        </w:rPr>
      </w:pPr>
    </w:p>
    <w:p w:rsidR="00EA1EDE" w:rsidP="00EA1EDE">
      <w:pPr>
        <w:rPr>
          <w:sz w:val="28"/>
          <w:szCs w:val="28"/>
        </w:rPr>
      </w:pPr>
    </w:p>
    <w:p w:rsidR="00EA1EDE" w:rsidP="00EA1EDE">
      <w:pPr>
        <w:rPr>
          <w:sz w:val="28"/>
          <w:szCs w:val="28"/>
        </w:rPr>
      </w:pPr>
      <w:r>
        <w:rPr>
          <w:sz w:val="28"/>
          <w:szCs w:val="28"/>
        </w:rPr>
        <w:t>Page 2 – Meyers Roman Add Five…</w:t>
      </w:r>
    </w:p>
    <w:p w:rsidR="00EA1EDE" w:rsidP="00EA1EDE">
      <w:pPr>
        <w:rPr>
          <w:sz w:val="28"/>
          <w:szCs w:val="28"/>
        </w:rPr>
      </w:pPr>
    </w:p>
    <w:p w:rsidR="00EA1EDE" w:rsidP="00EA1EDE">
      <w:pPr>
        <w:rPr>
          <w:sz w:val="28"/>
          <w:szCs w:val="28"/>
        </w:rPr>
      </w:pPr>
      <w:r w:rsidRPr="00EA1EDE">
        <w:rPr>
          <w:rStyle w:val="DefaultParagraphFont"/>
          <w:sz w:val="28"/>
          <w:szCs w:val="28"/>
        </w:rPr>
        <w:t>Tom FitzSimmons</w:t>
      </w:r>
      <w:r>
        <w:rPr>
          <w:sz w:val="28"/>
          <w:szCs w:val="28"/>
        </w:rPr>
        <w:t xml:space="preserve"> joins Meyers Roman as Of Counsel, bringing nearly two decades of law firm and in-house experience working for multiple real estate developers to protect and represent his clients while completing deals quickly and cost-efficiently. Tom is currently Assistant Law Director for Jackson Township where he provides counsel on economic development matters including retention and expansion of the Township’s commercial tax base with real estate developments in excess of four million square feet. Tom earned his law degree from the University of Cincinnati College of Law and his undergraduate degree from Muskingum University. </w:t>
      </w:r>
    </w:p>
    <w:p w:rsidR="00EA1EDE" w:rsidP="00EA1EDE">
      <w:pPr>
        <w:rPr>
          <w:sz w:val="28"/>
          <w:szCs w:val="28"/>
        </w:rPr>
      </w:pPr>
    </w:p>
    <w:p w:rsidR="00EA1EDE" w:rsidP="00EA1EDE">
      <w:pPr>
        <w:rPr>
          <w:sz w:val="28"/>
          <w:szCs w:val="28"/>
        </w:rPr>
      </w:pPr>
      <w:r>
        <w:rPr>
          <w:sz w:val="28"/>
          <w:szCs w:val="28"/>
        </w:rPr>
        <w:t xml:space="preserve">As an Associate in the firm’s Business and Corporate Group, </w:t>
      </w:r>
      <w:r w:rsidRPr="00EA1EDE">
        <w:rPr>
          <w:rStyle w:val="DefaultParagraphFont"/>
          <w:sz w:val="28"/>
          <w:szCs w:val="28"/>
        </w:rPr>
        <w:t>Jeremy Adell</w:t>
      </w:r>
      <w:r>
        <w:rPr>
          <w:sz w:val="28"/>
          <w:szCs w:val="28"/>
        </w:rPr>
        <w:t xml:space="preserve"> assists clients on real estate and business matters including purchase and sale transactions, leasing, real estate finance</w:t>
      </w:r>
      <w:r w:rsidR="00E34E3F">
        <w:rPr>
          <w:sz w:val="28"/>
          <w:szCs w:val="28"/>
        </w:rPr>
        <w:t>,</w:t>
      </w:r>
      <w:r>
        <w:rPr>
          <w:sz w:val="28"/>
          <w:szCs w:val="28"/>
        </w:rPr>
        <w:t xml:space="preserve"> and environmental law. He works with entrepreneurs and small businesses to develop, grow and finance their companies. Jeremy graduated from Cleveland-Marshall College of Law and The George Washington University.</w:t>
      </w:r>
    </w:p>
    <w:p w:rsidR="00EA1EDE" w:rsidP="00EA1EDE">
      <w:pPr>
        <w:rPr>
          <w:sz w:val="28"/>
          <w:szCs w:val="28"/>
        </w:rPr>
      </w:pPr>
    </w:p>
    <w:p w:rsidR="00EA1EDE" w:rsidRPr="00DB7A30" w:rsidP="00EA1EDE">
      <w:pPr>
        <w:rPr>
          <w:b/>
          <w:sz w:val="28"/>
          <w:szCs w:val="28"/>
        </w:rPr>
      </w:pPr>
      <w:r w:rsidRPr="00DB7A30">
        <w:rPr>
          <w:b/>
          <w:sz w:val="28"/>
          <w:szCs w:val="28"/>
        </w:rPr>
        <w:t>About Meyers Roman</w:t>
      </w:r>
    </w:p>
    <w:p w:rsidR="00EA1EDE" w:rsidP="00EA1EDE">
      <w:pPr>
        <w:rPr>
          <w:b/>
          <w:sz w:val="28"/>
          <w:szCs w:val="28"/>
        </w:rPr>
      </w:pPr>
    </w:p>
    <w:p w:rsidR="00EA1EDE" w:rsidP="00EA1EDE">
      <w:pPr>
        <w:rPr>
          <w:sz w:val="28"/>
          <w:szCs w:val="28"/>
        </w:rPr>
      </w:pPr>
      <w:r w:rsidRPr="00EA1EDE">
        <w:rPr>
          <w:sz w:val="28"/>
          <w:szCs w:val="28"/>
        </w:rPr>
        <w:t>Meyers</w:t>
      </w:r>
      <w:r>
        <w:rPr>
          <w:sz w:val="28"/>
          <w:szCs w:val="28"/>
        </w:rPr>
        <w:t xml:space="preserve"> Roman is a full-service law firm focused on addressing the legal needs of small and mid-size businesses, non-profits, public organizations and individuals. The firm’s 38 attorneys provide personalized legal services to individuals and companies operating locally, regionally, nationally and internationally. For more information, visit </w:t>
      </w:r>
      <w:r w:rsidRPr="007130E4">
        <w:rPr>
          <w:rStyle w:val="DefaultParagraphFont"/>
          <w:sz w:val="28"/>
          <w:szCs w:val="28"/>
        </w:rPr>
        <w:t>www.meyersroman.com</w:t>
      </w:r>
      <w:r>
        <w:rPr>
          <w:sz w:val="28"/>
          <w:szCs w:val="28"/>
        </w:rPr>
        <w:t>.</w:t>
      </w:r>
    </w:p>
    <w:p w:rsidR="00EA1EDE" w:rsidRPr="00EA1EDE" w:rsidP="00EA1EDE">
      <w:pPr>
        <w:rPr>
          <w:sz w:val="28"/>
          <w:szCs w:val="28"/>
        </w:rPr>
      </w:pPr>
      <w:r>
        <w:rPr>
          <w:sz w:val="28"/>
          <w:szCs w:val="28"/>
        </w:rPr>
        <w:t>.</w:t>
      </w:r>
    </w:p>
    <w:p w:rsidR="00EA1EDE" w:rsidP="00EA1EDE">
      <w:pPr>
        <w:rPr>
          <w:sz w:val="28"/>
          <w:szCs w:val="28"/>
        </w:rPr>
      </w:pPr>
    </w:p>
    <w:p w:rsidR="00EA1EDE" w:rsidP="00EA1EDE">
      <w:pPr>
        <w:rPr>
          <w:sz w:val="28"/>
          <w:szCs w:val="28"/>
        </w:rPr>
      </w:pPr>
    </w:p>
    <w:p w:rsidR="00EA1EDE" w:rsidP="00EA1EDE">
      <w:pPr>
        <w:rPr>
          <w:sz w:val="28"/>
          <w:szCs w:val="28"/>
        </w:rPr>
      </w:pPr>
    </w:p>
    <w:p w:rsidR="00EA1EDE" w:rsidP="00EA1EDE">
      <w:pPr>
        <w:rPr>
          <w:sz w:val="28"/>
          <w:szCs w:val="28"/>
        </w:rPr>
      </w:pPr>
      <w:r>
        <w:rPr>
          <w:sz w:val="28"/>
          <w:szCs w:val="28"/>
        </w:rPr>
        <w:t xml:space="preserve"> </w:t>
      </w:r>
    </w:p>
    <w:p w:rsidR="00EA1EDE" w:rsidP="00EA1EDE">
      <w:pPr>
        <w:rPr>
          <w:sz w:val="28"/>
          <w:szCs w:val="28"/>
        </w:rPr>
      </w:pPr>
    </w:p>
    <w:p w:rsidR="00EA1EDE" w:rsidP="007A537F">
      <w:pPr>
        <w:shd w:val="clear" w:color="auto" w:fill="FFFFFF"/>
        <w:rPr>
          <w:rFonts w:ascii="Calibri" w:eastAsia="Times New Roman" w:hAnsi="Calibri"/>
          <w:color w:val="000000"/>
        </w:rPr>
      </w:pPr>
    </w:p>
    <w:p w:rsidR="00036545" w:rsidP="007A537F">
      <w:pPr>
        <w:shd w:val="clear" w:color="auto" w:fill="FFFFFF"/>
        <w:rPr>
          <w:rFonts w:ascii="Calibri" w:eastAsia="Times New Roman" w:hAnsi="Calibri"/>
          <w:color w:val="000000"/>
        </w:rPr>
      </w:pPr>
    </w:p>
    <w:p w:rsidR="00036545" w:rsidRPr="00036545" w:rsidP="007A537F">
      <w:pPr>
        <w:shd w:val="clear" w:color="auto" w:fill="FFFFFF"/>
        <w:rPr>
          <w:rFonts w:ascii="Calibri" w:eastAsia="Times New Roman" w:hAnsi="Calibri"/>
          <w:color w:val="000000"/>
        </w:rPr>
      </w:pPr>
    </w:p>
    <w:p w:rsidR="00984F2B" w:rsidP="007A537F">
      <w:pPr>
        <w:shd w:val="clear" w:color="auto" w:fill="FFFFFF"/>
        <w:rPr>
          <w:rFonts w:ascii="Calibri" w:eastAsia="Times New Roman" w:hAnsi="Calibri"/>
          <w:color w:val="000000"/>
        </w:rPr>
      </w:pPr>
    </w:p>
    <w:sectPr w:rsidSect="00D14B9A">
      <w:headerReference w:type="default" r:id="rId4"/>
      <w:footerReference w:type="default" r:id="rId5"/>
      <w:pgSz w:w="12240" w:h="15840"/>
      <w:pgMar w:top="261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D4E" w:rsidRPr="00DF3D4E">
    <w:pPr>
      <w:pStyle w:val="Footer"/>
    </w:pPr>
    <w:r w:rsidRPr="00CC1107">
      <w:rPr>
        <w:noProof/>
        <w:sz w:val="18"/>
      </w:rPr>
      <w:t>{01450970 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4B9A">
    <w:pPr>
      <w:pStyle w:val="Header"/>
    </w:pPr>
    <w:r w:rsidRPr="00D14B9A">
      <w:rPr>
        <w:noProof/>
      </w:rPr>
      <w:drawing>
        <wp:anchor distT="0" distB="0" distL="114300" distR="114300" simplePos="0" relativeHeight="251658240" behindDoc="1" locked="0" layoutInCell="1" allowOverlap="1">
          <wp:simplePos x="0" y="0"/>
          <wp:positionH relativeFrom="column">
            <wp:posOffset>-419100</wp:posOffset>
          </wp:positionH>
          <wp:positionV relativeFrom="paragraph">
            <wp:posOffset>228600</wp:posOffset>
          </wp:positionV>
          <wp:extent cx="3209925" cy="851535"/>
          <wp:effectExtent l="0" t="0" r="9525" b="5715"/>
          <wp:wrapThrough wrapText="bothSides">
            <wp:wrapPolygon>
              <wp:start x="0" y="0"/>
              <wp:lineTo x="0" y="21262"/>
              <wp:lineTo x="21536" y="21262"/>
              <wp:lineTo x="21536" y="0"/>
              <wp:lineTo x="0" y="0"/>
            </wp:wrapPolygon>
          </wp:wrapThrough>
          <wp:docPr id="1" name="Picture 1" descr="Y:\DATA\ADMIN\MARKETING\GRAPHICS\00333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ATA\ADMIN\MARKETING\GRAPHICS\00333177.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09925"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B9A">
      <w:rPr>
        <w:noProof/>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323850</wp:posOffset>
              </wp:positionV>
              <wp:extent cx="1581150" cy="61912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4B9A" w:rsidRPr="00215F7A" w:rsidP="00D14B9A">
                          <w:pPr>
                            <w:jc w:val="right"/>
                            <w:rPr>
                              <w:rFonts w:eastAsia="Times New Roman" w:asciiTheme="minorHAnsi" w:hAnsiTheme="minorHAnsi"/>
                              <w:sz w:val="18"/>
                            </w:rPr>
                          </w:pPr>
                          <w:r w:rsidRPr="00215F7A">
                            <w:rPr>
                              <w:rFonts w:eastAsia="Times New Roman" w:asciiTheme="minorHAnsi" w:hAnsiTheme="minorHAnsi"/>
                              <w:sz w:val="18"/>
                            </w:rPr>
                            <w:t>Eton Tower</w:t>
                          </w:r>
                        </w:p>
                        <w:p w:rsidR="00D14B9A" w:rsidRPr="00215F7A" w:rsidP="00D14B9A">
                          <w:pPr>
                            <w:jc w:val="right"/>
                            <w:rPr>
                              <w:rFonts w:eastAsia="Times New Roman" w:asciiTheme="minorHAnsi" w:hAnsiTheme="minorHAnsi"/>
                              <w:sz w:val="18"/>
                            </w:rPr>
                          </w:pPr>
                          <w:r w:rsidRPr="00215F7A">
                            <w:rPr>
                              <w:rFonts w:eastAsia="Times New Roman" w:asciiTheme="minorHAnsi" w:hAnsiTheme="minorHAnsi"/>
                              <w:sz w:val="18"/>
                            </w:rPr>
                            <w:t>28601 Chagrin Blvd., Ste. 500</w:t>
                          </w:r>
                          <w:r w:rsidRPr="00215F7A">
                            <w:rPr>
                              <w:rFonts w:eastAsia="Times New Roman" w:asciiTheme="minorHAnsi" w:hAnsiTheme="minorHAnsi"/>
                              <w:sz w:val="18"/>
                            </w:rPr>
                            <w:br/>
                            <w:t>Cleveland, Ohio 44122</w:t>
                          </w:r>
                        </w:p>
                        <w:p w:rsidR="00D14B9A" w:rsidRPr="00215F7A" w:rsidP="00D14B9A">
                          <w:pPr>
                            <w:rPr>
                              <w:sz w:val="2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4.5pt;height:48.75pt;margin-top:25.5pt;margin-left:231.75pt;mso-height-percent:0;mso-height-relative:margin;mso-width-percent:0;mso-width-relative:margin;mso-wrap-distance-bottom:0;mso-wrap-distance-left:9pt;mso-wrap-distance-right:9pt;mso-wrap-distance-top:0;mso-wrap-style:square;position:absolute;visibility:visible;v-text-anchor:top;z-index:251660288" filled="f" stroked="f" strokeweight="0.5pt">
              <v:textbox>
                <w:txbxContent>
                  <w:p w:rsidR="00D14B9A" w:rsidRPr="00215F7A" w:rsidP="00D14B9A">
                    <w:pPr>
                      <w:jc w:val="right"/>
                      <w:rPr>
                        <w:rFonts w:eastAsia="Times New Roman" w:asciiTheme="minorHAnsi" w:hAnsiTheme="minorHAnsi"/>
                        <w:sz w:val="18"/>
                      </w:rPr>
                    </w:pPr>
                    <w:r w:rsidRPr="00215F7A">
                      <w:rPr>
                        <w:rFonts w:eastAsia="Times New Roman" w:asciiTheme="minorHAnsi" w:hAnsiTheme="minorHAnsi"/>
                        <w:sz w:val="18"/>
                      </w:rPr>
                      <w:t>Eton Tower</w:t>
                    </w:r>
                  </w:p>
                  <w:p w:rsidR="00D14B9A" w:rsidRPr="00215F7A" w:rsidP="00D14B9A">
                    <w:pPr>
                      <w:jc w:val="right"/>
                      <w:rPr>
                        <w:rFonts w:eastAsia="Times New Roman" w:asciiTheme="minorHAnsi" w:hAnsiTheme="minorHAnsi"/>
                        <w:sz w:val="18"/>
                      </w:rPr>
                    </w:pPr>
                    <w:r w:rsidRPr="00215F7A">
                      <w:rPr>
                        <w:rFonts w:eastAsia="Times New Roman" w:asciiTheme="minorHAnsi" w:hAnsiTheme="minorHAnsi"/>
                        <w:sz w:val="18"/>
                      </w:rPr>
                      <w:t>28601 Chagrin Blvd., Ste. 500</w:t>
                    </w:r>
                    <w:r w:rsidRPr="00215F7A">
                      <w:rPr>
                        <w:rFonts w:eastAsia="Times New Roman" w:asciiTheme="minorHAnsi" w:hAnsiTheme="minorHAnsi"/>
                        <w:sz w:val="18"/>
                      </w:rPr>
                      <w:br/>
                      <w:t>Cleveland, Ohio 44122</w:t>
                    </w:r>
                  </w:p>
                  <w:p w:rsidR="00D14B9A" w:rsidRPr="00215F7A" w:rsidP="00D14B9A">
                    <w:pPr>
                      <w:rPr>
                        <w:sz w:val="22"/>
                      </w:rPr>
                    </w:pPr>
                  </w:p>
                </w:txbxContent>
              </v:textbox>
            </v:shape>
          </w:pict>
        </mc:Fallback>
      </mc:AlternateContent>
    </w:r>
    <w:r w:rsidRPr="00D14B9A">
      <w:rPr>
        <w:noProof/>
      </w:rPr>
      <mc:AlternateContent>
        <mc:Choice Requires="wps">
          <w:drawing>
            <wp:anchor distT="0" distB="0" distL="114300" distR="114300" simplePos="0" relativeHeight="251661312" behindDoc="0" locked="0" layoutInCell="1" allowOverlap="1">
              <wp:simplePos x="0" y="0"/>
              <wp:positionH relativeFrom="column">
                <wp:posOffset>4476750</wp:posOffset>
              </wp:positionH>
              <wp:positionV relativeFrom="paragraph">
                <wp:posOffset>323850</wp:posOffset>
              </wp:positionV>
              <wp:extent cx="2190750" cy="619125"/>
              <wp:effectExtent l="0" t="0" r="0" b="95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07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4B9A" w:rsidRPr="00215F7A" w:rsidP="00D14B9A">
                          <w:pPr>
                            <w:shd w:val="clear" w:color="auto" w:fill="FFFFFF"/>
                            <w:rPr>
                              <w:rFonts w:ascii="Calibri" w:eastAsia="Times New Roman" w:hAnsi="Calibri"/>
                              <w:sz w:val="18"/>
                            </w:rPr>
                          </w:pPr>
                          <w:r w:rsidRPr="00215F7A">
                            <w:rPr>
                              <w:rFonts w:ascii="Calibri" w:eastAsia="Times New Roman" w:hAnsi="Calibri"/>
                              <w:sz w:val="18"/>
                            </w:rPr>
                            <w:t xml:space="preserve">Contact: Sara Cox, Marketing Coordinator </w:t>
                          </w:r>
                        </w:p>
                        <w:p w:rsidR="00D14B9A" w:rsidRPr="00215F7A" w:rsidP="00D14B9A">
                          <w:pPr>
                            <w:shd w:val="clear" w:color="auto" w:fill="FFFFFF"/>
                            <w:rPr>
                              <w:rFonts w:ascii="Calibri" w:eastAsia="Times New Roman" w:hAnsi="Calibri"/>
                              <w:sz w:val="18"/>
                            </w:rPr>
                          </w:pPr>
                          <w:r w:rsidRPr="00215F7A">
                            <w:rPr>
                              <w:rFonts w:ascii="Calibri" w:eastAsia="Times New Roman" w:hAnsi="Calibri"/>
                              <w:sz w:val="18"/>
                            </w:rPr>
                            <w:t>216.831.0042</w:t>
                          </w:r>
                        </w:p>
                        <w:p w:rsidR="00D14B9A" w:rsidRPr="00215F7A" w:rsidP="00D14B9A">
                          <w:pPr>
                            <w:shd w:val="clear" w:color="auto" w:fill="FFFFFF"/>
                            <w:rPr>
                              <w:rFonts w:ascii="Calibri" w:eastAsia="Times New Roman" w:hAnsi="Calibri"/>
                              <w:sz w:val="18"/>
                            </w:rPr>
                          </w:pPr>
                          <w:r w:rsidRPr="00215F7A">
                            <w:rPr>
                              <w:rFonts w:ascii="Calibri" w:eastAsia="Times New Roman" w:hAnsi="Calibri"/>
                              <w:sz w:val="18"/>
                            </w:rPr>
                            <w:t>scox@meyersroman.com</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2050" type="#_x0000_t202" style="width:172.5pt;height:48.75pt;margin-top:25.5pt;margin-left:352.5pt;mso-height-percent:0;mso-height-relative:margin;mso-width-percent:0;mso-width-relative:margin;mso-wrap-distance-bottom:0;mso-wrap-distance-left:9pt;mso-wrap-distance-right:9pt;mso-wrap-distance-top:0;mso-wrap-style:square;position:absolute;visibility:visible;v-text-anchor:top;z-index:251662336" fillcolor="white" stroked="f" strokeweight="0.5pt">
              <v:textbox>
                <w:txbxContent>
                  <w:p w:rsidR="00D14B9A" w:rsidRPr="00215F7A" w:rsidP="00D14B9A">
                    <w:pPr>
                      <w:shd w:val="clear" w:color="auto" w:fill="FFFFFF"/>
                      <w:rPr>
                        <w:rFonts w:ascii="Calibri" w:eastAsia="Times New Roman" w:hAnsi="Calibri"/>
                        <w:sz w:val="18"/>
                      </w:rPr>
                    </w:pPr>
                    <w:r w:rsidRPr="00215F7A">
                      <w:rPr>
                        <w:rFonts w:ascii="Calibri" w:eastAsia="Times New Roman" w:hAnsi="Calibri"/>
                        <w:sz w:val="18"/>
                      </w:rPr>
                      <w:t xml:space="preserve">Contact: Sara Cox, Marketing Coordinator </w:t>
                    </w:r>
                  </w:p>
                  <w:p w:rsidR="00D14B9A" w:rsidRPr="00215F7A" w:rsidP="00D14B9A">
                    <w:pPr>
                      <w:shd w:val="clear" w:color="auto" w:fill="FFFFFF"/>
                      <w:rPr>
                        <w:rFonts w:ascii="Calibri" w:eastAsia="Times New Roman" w:hAnsi="Calibri"/>
                        <w:sz w:val="18"/>
                      </w:rPr>
                    </w:pPr>
                    <w:r w:rsidRPr="00215F7A">
                      <w:rPr>
                        <w:rFonts w:ascii="Calibri" w:eastAsia="Times New Roman" w:hAnsi="Calibri"/>
                        <w:sz w:val="18"/>
                      </w:rPr>
                      <w:t>216.831.0042</w:t>
                    </w:r>
                  </w:p>
                  <w:p w:rsidR="00D14B9A" w:rsidRPr="00215F7A" w:rsidP="00D14B9A">
                    <w:pPr>
                      <w:shd w:val="clear" w:color="auto" w:fill="FFFFFF"/>
                      <w:rPr>
                        <w:rFonts w:ascii="Calibri" w:eastAsia="Times New Roman" w:hAnsi="Calibri"/>
                        <w:sz w:val="18"/>
                      </w:rPr>
                    </w:pPr>
                    <w:r w:rsidRPr="00215F7A">
                      <w:rPr>
                        <w:rFonts w:ascii="Calibri" w:eastAsia="Times New Roman" w:hAnsi="Calibri"/>
                        <w:sz w:val="18"/>
                      </w:rPr>
                      <w:t>scox@meyersroman.com</w:t>
                    </w:r>
                  </w:p>
                </w:txbxContent>
              </v:textbox>
            </v:shape>
          </w:pict>
        </mc:Fallback>
      </mc:AlternateContent>
    </w:r>
    <w:r w:rsidRPr="00D14B9A">
      <w:rPr>
        <w:noProof/>
      </w:rPr>
      <mc:AlternateContent>
        <mc:Choice Requires="wps">
          <w:drawing>
            <wp:anchor distT="0" distB="0" distL="114300" distR="114300" simplePos="0" relativeHeight="251663360" behindDoc="0" locked="0" layoutInCell="1" allowOverlap="1">
              <wp:simplePos x="0" y="0"/>
              <wp:positionH relativeFrom="column">
                <wp:posOffset>4496435</wp:posOffset>
              </wp:positionH>
              <wp:positionV relativeFrom="paragraph">
                <wp:posOffset>314325</wp:posOffset>
              </wp:positionV>
              <wp:extent cx="0" cy="53340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2051" style="mso-height-percent:0;mso-height-relative:margin;mso-wrap-distance-bottom:0;mso-wrap-distance-left:9pt;mso-wrap-distance-right:9pt;mso-wrap-distance-top:0;mso-wrap-style:square;position:absolute;visibility:visible;z-index:251664384" from="354.05pt,24.75pt" to="354.05pt,66.75pt" strokecolor="#4579b8"/>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55A7C"/>
    <w:multiLevelType w:val="multilevel"/>
    <w:tmpl w:val="2CD8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3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37F"/>
    <w:rPr>
      <w:color w:val="0000FF"/>
      <w:u w:val="single"/>
    </w:rPr>
  </w:style>
  <w:style w:type="paragraph" w:styleId="Header">
    <w:name w:val="header"/>
    <w:basedOn w:val="Normal"/>
    <w:link w:val="HeaderChar"/>
    <w:uiPriority w:val="99"/>
    <w:unhideWhenUsed/>
    <w:rsid w:val="007A537F"/>
    <w:pPr>
      <w:tabs>
        <w:tab w:val="center" w:pos="4680"/>
        <w:tab w:val="right" w:pos="9360"/>
      </w:tabs>
    </w:pPr>
  </w:style>
  <w:style w:type="character" w:customStyle="1" w:styleId="HeaderChar">
    <w:name w:val="Header Char"/>
    <w:basedOn w:val="DefaultParagraphFont"/>
    <w:link w:val="Header"/>
    <w:uiPriority w:val="99"/>
    <w:rsid w:val="007A537F"/>
    <w:rPr>
      <w:rFonts w:ascii="Times New Roman" w:hAnsi="Times New Roman" w:cs="Times New Roman"/>
      <w:sz w:val="24"/>
      <w:szCs w:val="24"/>
    </w:rPr>
  </w:style>
  <w:style w:type="paragraph" w:styleId="Footer">
    <w:name w:val="footer"/>
    <w:basedOn w:val="Normal"/>
    <w:link w:val="FooterChar"/>
    <w:uiPriority w:val="99"/>
    <w:unhideWhenUsed/>
    <w:rsid w:val="007A537F"/>
    <w:pPr>
      <w:tabs>
        <w:tab w:val="center" w:pos="4680"/>
        <w:tab w:val="right" w:pos="9360"/>
      </w:tabs>
    </w:pPr>
  </w:style>
  <w:style w:type="character" w:customStyle="1" w:styleId="FooterChar">
    <w:name w:val="Footer Char"/>
    <w:basedOn w:val="DefaultParagraphFont"/>
    <w:link w:val="Footer"/>
    <w:uiPriority w:val="99"/>
    <w:rsid w:val="007A537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C2236"/>
    <w:rPr>
      <w:rFonts w:ascii="Tahoma" w:hAnsi="Tahoma" w:cs="Tahoma"/>
      <w:sz w:val="16"/>
      <w:szCs w:val="16"/>
    </w:rPr>
  </w:style>
  <w:style w:type="character" w:customStyle="1" w:styleId="BalloonTextChar">
    <w:name w:val="Balloon Text Char"/>
    <w:basedOn w:val="DefaultParagraphFont"/>
    <w:link w:val="BalloonText"/>
    <w:uiPriority w:val="99"/>
    <w:semiHidden/>
    <w:rsid w:val="008C2236"/>
    <w:rPr>
      <w:rFonts w:ascii="Tahoma" w:hAnsi="Tahoma" w:cs="Tahoma"/>
      <w:sz w:val="16"/>
      <w:szCs w:val="16"/>
    </w:rPr>
  </w:style>
  <w:style w:type="paragraph" w:styleId="NormalWeb">
    <w:name w:val="Normal (Web)"/>
    <w:basedOn w:val="Normal"/>
    <w:uiPriority w:val="99"/>
    <w:semiHidden/>
    <w:unhideWhenUsed/>
    <w:rsid w:val="00EA213F"/>
    <w:rPr>
      <w:rFonts w:ascii="inherit" w:eastAsia="Times New Roman" w:hAnsi="inherit"/>
    </w:rPr>
  </w:style>
  <w:style w:type="character" w:customStyle="1" w:styleId="UnresolvedMention">
    <w:name w:val="Unresolved Mention"/>
    <w:basedOn w:val="DefaultParagraphFont"/>
    <w:uiPriority w:val="99"/>
    <w:semiHidden/>
    <w:unhideWhenUsed/>
    <w:rsid w:val="00EA1E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Press Release - Meyers Roman Welcomes Five Attorneys (01450970-2).DOCX</vt:lpstr>
    </vt:vector>
  </TitlesOfParts>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2018-09-25T20:54:56Z</dcterms:created>
  <dcterms:modified xsi:type="dcterms:W3CDTF">2018-09-25T20:54:56Z</dcterms:modified>
</cp:coreProperties>
</file>